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6.png" ContentType="image/png"/>
  <Override PartName="/word/media/rId135.png" ContentType="image/png"/>
  <Override PartName="/word/media/rId57.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61.png" ContentType="image/png"/>
  <Override PartName="/word/media/rId60.png" ContentType="image/png"/>
  <Override PartName="/word/media/rId31.png" ContentType="image/png"/>
  <Override PartName="/word/media/rId65.png" ContentType="image/png"/>
  <Override PartName="/word/media/rId29.png" ContentType="image/png"/>
  <Override PartName="/word/media/rId54.png" ContentType="image/png"/>
  <Override PartName="/word/media/rId56.png" ContentType="image/png"/>
  <Override PartName="/word/media/rId33.png" ContentType="image/png"/>
  <Override PartName="/word/media/rId38.png" ContentType="image/png"/>
  <Override PartName="/word/media/rId63.png" ContentType="image/png"/>
  <Override PartName="/word/media/rId64.png" ContentType="image/png"/>
  <Override PartName="/word/media/rId36.png" ContentType="image/png"/>
  <Override PartName="/word/media/rId47.png" ContentType="image/png"/>
  <Override PartName="/word/media/rId51.png" ContentType="image/png"/>
  <Override PartName="/word/media/rId49.png" ContentType="image/png"/>
  <Override PartName="/word/media/rId58.png" ContentType="image/png"/>
  <Override PartName="/word/media/rId43.png" ContentType="image/png"/>
  <Override PartName="/word/media/rId24.png" ContentType="image/png"/>
  <Override PartName="/word/media/rId89.png" ContentType="image/png"/>
  <Override PartName="/word/media/rId90.png" ContentType="image/png"/>
  <Override PartName="/word/media/rId101.png" ContentType="image/png"/>
  <Override PartName="/word/media/rId100.png" ContentType="image/png"/>
  <Override PartName="/word/media/rId102.png" ContentType="image/png"/>
  <Override PartName="/word/media/rId103.png" ContentType="image/png"/>
  <Override PartName="/word/media/rId82.png" ContentType="image/png"/>
  <Override PartName="/word/media/rId79.png" ContentType="image/png"/>
  <Override PartName="/word/media/rId78.png" ContentType="image/png"/>
  <Override PartName="/word/media/rId75.png" ContentType="image/png"/>
  <Override PartName="/word/media/rId96.png" ContentType="image/png"/>
  <Override PartName="/word/media/rId86.png" ContentType="image/png"/>
  <Override PartName="/word/media/rId107.png" ContentType="image/png"/>
  <Override PartName="/word/media/rId109.png" ContentType="image/png"/>
  <Override PartName="/word/media/rId110.png" ContentType="image/png"/>
  <Override PartName="/word/media/rId111.png" ContentType="image/png"/>
  <Override PartName="/word/media/rId87.png" ContentType="image/png"/>
  <Override PartName="/word/media/rId71.png" ContentType="image/png"/>
  <Override PartName="/word/media/rId84.png" ContentType="image/png"/>
  <Override PartName="/word/media/rId106.png" ContentType="image/png"/>
  <Override PartName="/word/media/rId98.png" ContentType="image/png"/>
  <Override PartName="/word/media/rId125.png" ContentType="image/png"/>
  <Override PartName="/word/media/rId115.png" ContentType="image/png"/>
  <Override PartName="/word/media/rId124.png" ContentType="image/png"/>
  <Override PartName="/word/media/rId126.png" ContentType="image/png"/>
  <Override PartName="/word/media/rId117.png" ContentType="image/png"/>
  <Override PartName="/word/media/rId122.png" ContentType="image/png"/>
  <Override PartName="/word/media/rId119.png" ContentType="image/png"/>
  <Override PartName="/word/media/rId129.png" ContentType="image/png"/>
  <Override PartName="/word/media/rId120.png" ContentType="image/png"/>
  <Override PartName="/word/media/rId1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32A).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32B).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aucun modèle commun expliquant le mécanisme général de congression chez tout les organismes n'existe, on observe à travers tout ces mécanismes un processus conservé chez l'ensemble des cellules eucaryotes. Les chromosomes se déplacent de manière régulière en exhibant des mouvements oscillatoires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sous l'effet d'une force afin de pouvoir bouger. Cette force serait majoritairement dû à l'attachement microtubules - kinétochores. Plusieurs modèles proposent différents mécanismes capable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transmise par une protéine capable de lier le microtubule instable avec le kinétochore (le complexe NDC80 et le complexe DAM1 possiblement) est en faite la version moderne d'un modèle théorique établi dans les années 1990, appelé le modèle Hill</w:t>
      </w:r>
      <w:r>
        <w:t xml:space="preserve"> </w:t>
      </w:r>
      <w:r>
        <w:t xml:space="preserve">(Hill,</w:t>
      </w:r>
      <w:r>
        <w:t xml:space="preserve"> </w:t>
      </w:r>
      <w:hyperlink w:anchor="ref-Hill1985">
        <w:r>
          <w:rPr>
            <w:rStyle w:val="Hyperlink"/>
          </w:rPr>
          <w:t xml:space="preserve">1985</w:t>
        </w:r>
      </w:hyperlink>
      <w:r>
        <w:t xml:space="preserve">)</w:t>
      </w:r>
      <w:r>
        <w:t xml:space="preserve">. Ces différentes mécanismes sont détaillés en Section </w:t>
      </w:r>
      <w:r>
        <w:rPr>
          <w:b/>
        </w:rPr>
        <w:t xml:space="preserve">??</w:t>
      </w:r>
      <w:r>
        <w:t xml:space="preserve">.</w:t>
      </w:r>
    </w:p>
    <w:p>
      <w:pPr>
        <w:numPr>
          <w:numId w:val="1010"/>
          <w:ilvl w:val="0"/>
        </w:numPr>
      </w:pPr>
      <w:r>
        <w:t xml:space="preserve">Une fois le chromosome en mouvement, un mécanisme doit pouvoir réguler sa dynamique afin de contraindre ses déplacements et exhiber des mouvement de va et vient et une congression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w:t>
      </w:r>
    </w:p>
    <w:p>
      <w:pPr>
        <w:pStyle w:val="BodyText"/>
      </w:pPr>
      <w:r>
        <w:t xml:space="preserve">Le modèle standard du switch de direction d'un chromosome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capitale de la chromatine centromérique dans la coordination du switch de direction du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c'est la tension entre les deux kinétochores qui déclenche le changement d'état du leading kinétochore en P-AP. La diminution de tension s'en suivant déclencherait alors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de cellules d'eucaryotes supèrieurs exhibent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il a été observé dans plus de 30% des switch chez les cellules HeLa que le premier kinétochore a switché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aucune étude n'a encore déterminé les propriétés du mouvement des chromosomes dans des cellules de plus petites tailles et ne possédant pas de chromokinésines</w:t>
      </w:r>
      <w:r>
        <w:t xml:space="preserve"> </w:t>
      </w:r>
      <w:r>
        <w:t xml:space="preserve">(Stumpff et al.,</w:t>
      </w:r>
      <w:r>
        <w:t xml:space="preserve"> </w:t>
      </w:r>
      <w:hyperlink w:anchor="ref-Stumpff2012">
        <w:r>
          <w:rPr>
            <w:rStyle w:val="Hyperlink"/>
          </w:rPr>
          <w:t xml:space="preserve">2012</w:t>
        </w:r>
      </w:hyperlink>
      <w:r>
        <w:t xml:space="preserve">)</w:t>
      </w:r>
      <w:r>
        <w:t xml:space="preserve"> </w:t>
      </w:r>
      <w:r>
        <w:t xml:space="preserve">comme la levure.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modèle plus précis que le modèle standard stipulant que la tension seule ne pouvait expliquer le déclenchement du switch de direction. En se basant sur des observations très précises de l'évolution de la distance inter-kinétochore autour de l’événement de switch de direction, ils stipulent que en plus de la tension, une horloge régulerait le taux de catastrophe et de rescue des microtubules kinétochoriens.</w:t>
      </w:r>
    </w:p>
    <w:p>
      <w:pPr>
        <w:pStyle w:val="BodyText"/>
      </w:pPr>
      <w:r>
        <w:t xml:space="preserve">Le mouvement des chromosomes fait parti d'un plus grand ensemble, le fuseau mitotique, qui durant la métaphase est sous l'effet d'importantes forces.</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17).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17: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18).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18: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19A).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19B.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19: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20A).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20: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20B).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21: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21).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20C).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20C).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2" w:name="la-levure-à-fission-un-organisme-modèle-pour-létude-du-cycle-cellulaire"/>
      <w:bookmarkEnd w:id="6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22)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22: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23).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23: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24A).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24B).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24: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sec:article"/>
      <w:bookmarkEnd w:id="6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9" w:name="reconstruction-et-analyse-de-la-trajectoire-des-chromosomes-en-métaphase"/>
      <w:bookmarkEnd w:id="69"/>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25A).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25B).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1"/>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25: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2" w:name="détection-par-fit-gaussien"/>
      <w:bookmarkEnd w:id="72"/>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25B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3"/>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26).</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26B) possède souvent une gaussienne moins bien défini que la sonde Cdc11-GFP (Figure 26C)).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5"/>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26: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6"/>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27A). La distance entre la position réelle</w:t>
      </w:r>
      <w:r>
        <w:t xml:space="preserve"> </w:t>
      </w:r>
      <w:r>
        <w:rPr>
          <w:i/>
        </w:rPr>
        <w:t xml:space="preserve">in silico</w:t>
      </w:r>
      <w:r>
        <w:t xml:space="preserve"> </w:t>
      </w:r>
      <w:r>
        <w:t xml:space="preserve">puis la position détectée a ensuite été comparé (Figure 27B).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8"/>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27: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25A).</w:t>
      </w:r>
    </w:p>
    <w:p>
      <w:pPr>
        <w:pStyle w:val="BodyText"/>
      </w:pPr>
      <w:r>
        <w:t xml:space="preserve">L'idée principale est d'appliquer un algorithme de détection de blob plusieurs fois. Entre chaque tour de détection, on soustrait les blobs détectés à l'image source et on re-détecte les blobs restant (Figure 28).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9"/>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28: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0"/>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25A) fonctionnait bien. Or l'algorithme de déflation ne donne pas de résultat convaincant comparé à celui proposé par TrackMate (Figure 29).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2"/>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29: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3" w:name="reconstruction-des-trajectoires"/>
      <w:bookmarkEnd w:id="83"/>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30).</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4"/>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30: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5" w:name="trois-chromosomes"/>
      <w:bookmarkEnd w:id="85"/>
      <w:r>
        <w:t xml:space="preserve">Trois chromosomes</w:t>
      </w:r>
    </w:p>
    <w:p>
      <w:pPr>
        <w:pStyle w:val="FirstParagraph"/>
      </w:pPr>
      <w:r>
        <w:t xml:space="preserve">Le tracking des six kinétochores est un challenge. En effet comme déjà vu en Figure 25A,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31).</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6"/>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31: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31A),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31B)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32). La première provenant d'un module Python crée pour l'occasion, appelé</w:t>
      </w:r>
      <w:r>
        <w:t xml:space="preserve"> </w:t>
      </w:r>
      <w:r>
        <w:rPr>
          <w:rStyle w:val="VerbatimChar"/>
        </w:rPr>
        <w:t xml:space="preserve">scikit-tracker</w:t>
      </w:r>
      <w:r>
        <w:t xml:space="preserve">, possédant une fonction de score supposant un mouvement brownien (Figure 32A). La seconde est celle disponible dans TrackMate et contient une fonction de score qui suppose un mouvement dirigé basé sur un filtre de Kalman pour prédire les trajectoires (Figure 32B).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7"/>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32: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8" w:name="un-chromosome"/>
      <w:bookmarkEnd w:id="88"/>
      <w:r>
        <w:t xml:space="preserve">Un chromosome</w:t>
      </w:r>
    </w:p>
    <w:p>
      <w:pPr>
        <w:pStyle w:val="FirstParagraph"/>
      </w:pPr>
      <w:r>
        <w:t xml:space="preserve">En observant seulement un seul chromosome (Figure 25B),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32)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9"/>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32: Algorithme de tracking pour un chromosome.</w:t>
      </w:r>
    </w:p>
    <w:p>
      <w:pPr>
        <w:pStyle w:val="BodyText"/>
      </w:pPr>
      <w:r>
        <w:t xml:space="preserve">Cette technique est très robuste (Figure 33).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0"/>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33: Reconstruction de la trajectoire du chromosome II et de ces deux pôles.</w:t>
      </w:r>
    </w:p>
    <w:p>
      <w:pPr>
        <w:pStyle w:val="Heading5"/>
      </w:pPr>
      <w:bookmarkStart w:id="91" w:name="interface-de-correction-manuelle-des-trajectoires"/>
      <w:bookmarkEnd w:id="91"/>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2"/>
      </w:r>
      <w:r>
        <w:t xml:space="preserve"> Son code est librement disponible.</w:t>
      </w:r>
      <w:r>
        <w:rPr>
          <w:rStyle w:val="FootnoteReference"/>
        </w:rPr>
        <w:footnoteReference w:id="94"/>
      </w:r>
      <w:r>
        <w:t xml:space="preserve"/>
      </w:r>
    </w:p>
    <w:p>
      <w:pPr>
        <w:pStyle w:val="BodyText"/>
      </w:pPr>
      <w:r>
        <w:t xml:space="preserve">L'interface permet de naviguer de manière intuitive dans la trajectoire à l'aide d'un système de zoom dynamique (Figure 34).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34A) afin de pouvoir faciliter l'analyse automatique des différentes phases de la mitose ultérieurement.</w:t>
      </w:r>
    </w:p>
    <w:p>
      <w:pPr>
        <w:pStyle w:val="BodyText"/>
      </w:pPr>
      <w:r>
        <w:t xml:space="preserve">Cependant l'utilité majeure de l'interface graphique est de pouvoir modifier les erreurs de tracking (Figure 34B).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6"/>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34: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7" w:name="résumé-du-workflow-de-reconstruction-des-trajectoires"/>
      <w:bookmarkEnd w:id="97"/>
      <w:r>
        <w:t xml:space="preserve">Résumé du workflow de reconstruction des trajectoires</w:t>
      </w:r>
    </w:p>
    <w:p>
      <w:pPr>
        <w:pStyle w:val="FirstParagraph"/>
      </w:pPr>
      <w:r>
        <w:t xml:space="preserve">Voici un résumé de l'ensemble des étapes menant à la reconstruction de la trajectoire des chromosomes (Figure 35).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8"/>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35: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9" w:name="létat-de-cohérence-du-mouvement-des-kinétochores-frères"/>
      <w:bookmarkEnd w:id="99"/>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36).</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0"/>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36: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36).</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37,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1"/>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37: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38)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2"/>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38: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3"/>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39: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4" w:name="analyse-du-mouvement-par-mean-square-displacement"/>
      <w:bookmarkEnd w:id="104"/>
      <w:r>
        <w:t xml:space="preserve">Analyse du mouvement par « Mean Square Displacement »</w:t>
      </w:r>
    </w:p>
    <w:p>
      <w:pPr>
        <w:pStyle w:val="Heading4"/>
      </w:pPr>
      <w:bookmarkStart w:id="105" w:name="la-msd-un-outil-pour-accéder-aux-différents-phénomènes-gouvernant-un-mouvement"/>
      <w:bookmarkEnd w:id="105"/>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6"/>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40: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41A,B).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7"/>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41: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8" w:name="mesure-de-la-msd-appliquée-au-mouvement-de-cen2-gfp"/>
      <w:bookmarkEnd w:id="108"/>
      <w:r>
        <w:t xml:space="preserve">Mesure de la MSD appliquée au mouvement de Cen2-GFP</w:t>
      </w:r>
    </w:p>
    <w:p>
      <w:pPr>
        <w:pStyle w:val="FirstParagraph"/>
      </w:pPr>
      <w:r>
        <w:t xml:space="preserve">L'observation des MSD de différentes trajectoires de Cen2-GFP sous différentes conditions (Figure 42 et Figure 43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9"/>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43) permet de voir de manière plus précise ce qui se passe aux temps courts. Il est ainsi possible d'observer que toutes les MSD pourraient posséder trois temps caractéristiques (Figure 44)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44),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44)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0"/>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43: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plsu faible comparé aux MSD sans TBZ. Cela pourrait signifier que les kinétochores en présence de TBZ sont moins soumis à une force possiblement dirigée par un processus de mouvement dirigé comme le confirme l'analyse des oscillations en Section 3.1.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1"/>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44: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2" w:name="modélisation-bio-mécanique-de-la-ségrégation-des-chromosomes"/>
      <w:bookmarkEnd w:id="112"/>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3" w:name="modéliser-la-dynamique-des-chromosomes-par-une-approche-force-balance"/>
      <w:bookmarkEnd w:id="113"/>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4" w:name="types-de-forces-en-jeux"/>
      <w:bookmarkEnd w:id="114"/>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8"/>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8"/>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8"/>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8"/>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8"/>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8"/>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45).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45).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45).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5"/>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45: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6" w:name="léquation-du-mouvement"/>
      <w:bookmarkEnd w:id="116"/>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46).</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7"/>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46: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46).</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8" w:name="application-au-fuseau-mitotique"/>
      <w:bookmarkEnd w:id="118"/>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47).</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9"/>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47: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48).</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20"/>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48: Une simulation numérique permet de résoudre l'équation du mouvement et ensuite accéder à l'évolution des positions de chaque objets au cours du temps.</w:t>
      </w:r>
    </w:p>
    <w:p>
      <w:pPr>
        <w:pStyle w:val="Heading4"/>
      </w:pPr>
      <w:bookmarkStart w:id="121" w:name="implémentation-numérique"/>
      <w:bookmarkEnd w:id="121"/>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2"/>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3" w:name="un-modèle-de-congression-alternatif"/>
      <w:bookmarkEnd w:id="123"/>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4"/>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5"/>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6"/>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7" w:name="vers-un-modèle-dattachement-à-trois-états"/>
      <w:bookmarkEnd w:id="127"/>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8"/>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54) :</w:t>
      </w:r>
    </w:p>
    <w:p>
      <w:pPr>
        <w:numPr>
          <w:numId w:val="1019"/>
          <w:ilvl w:val="0"/>
        </w:numPr>
      </w:pPr>
      <w:r>
        <w:t xml:space="preserve">L'état « détaché » (D) correspond à site d'attachement sans microtubule et donc sans génération de force car elle est supposé provenir du microtubules.</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9"/>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54).</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30" w:name="discussion"/>
      <w:bookmarkEnd w:id="130"/>
      <w:r>
        <w:t xml:space="preserve">Discussion</w:t>
      </w:r>
    </w:p>
    <w:p>
      <w:pPr>
        <w:pStyle w:val="Heading2"/>
      </w:pPr>
      <w:bookmarkStart w:id="131" w:name="lapproche-multidisciplinaire-comme-méthode-détude-en-biologie-cellulaire"/>
      <w:bookmarkEnd w:id="131"/>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temps géologique sur lesquels sont basées ces études.</w:t>
      </w:r>
    </w:p>
    <w:p>
      <w:pPr>
        <w:pStyle w:val="BodyText"/>
      </w:pPr>
      <w:r>
        <w:t xml:space="preserve">L’interaction entre la physique et la biologie est quant à elle plus vieille.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de travail interdisciplinaire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est basé sur l'interaction des trois disciplines discutées plus haut :</w:t>
      </w:r>
    </w:p>
    <w:p>
      <w:pPr>
        <w:numPr>
          <w:numId w:val="1020"/>
          <w:ilvl w:val="0"/>
        </w:numPr>
      </w:pPr>
      <w:r>
        <w:t xml:space="preserve">La biologie en est la clé de voûte, étant à la base de la problématique posée : la compréhension des mécanismes responsable de la dynamique des chromosomes durant la mitose.</w:t>
      </w:r>
    </w:p>
    <w:p>
      <w:pPr>
        <w:numPr>
          <w:numId w:val="1020"/>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20"/>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 permis d'explorer de nouvelles hypothèses à l'origine de la régulation de la dynamique des chromosomes durant la mitose chez la levure.</w:t>
      </w:r>
    </w:p>
    <w:p>
      <w:pPr>
        <w:pStyle w:val="Heading2"/>
      </w:pPr>
      <w:bookmarkStart w:id="132" w:name="la-dynamique-des-chromosomes-en-mitose"/>
      <w:bookmarkEnd w:id="132"/>
      <w:r>
        <w:t xml:space="preserve">La dynamique des chromosomes en mitose</w:t>
      </w:r>
    </w:p>
    <w:p>
      <w:pPr>
        <w:pStyle w:val="Compact"/>
        <w:numPr>
          <w:numId w:val="1021"/>
          <w:ilvl w:val="0"/>
        </w:numPr>
      </w:pPr>
      <w:r>
        <w:t xml:space="preserve">communication active ou bien emergente des mecanisme sous jacent plus basique ?</w:t>
      </w:r>
    </w:p>
    <w:p>
      <w:pPr>
        <w:pStyle w:val="Compact"/>
        <w:numPr>
          <w:numId w:val="1021"/>
          <w:ilvl w:val="0"/>
        </w:numPr>
      </w:pPr>
      <w:r>
        <w:t xml:space="preserve">force de la levure dans ce type d'etude car mvt tres irregulier</w:t>
      </w:r>
    </w:p>
    <w:p>
      <w:pPr>
        <w:pStyle w:val="Compact"/>
        <w:numPr>
          <w:numId w:val="1022"/>
          <w:ilvl w:val="1"/>
        </w:numPr>
      </w:pPr>
      <w:r>
        <w:t xml:space="preserve">regularite lie au nombre de chromosome/taille/nbre de microtubule</w:t>
      </w:r>
    </w:p>
    <w:p>
      <w:pPr>
        <w:pStyle w:val="Compact"/>
        <w:numPr>
          <w:numId w:val="1021"/>
          <w:ilvl w:val="0"/>
        </w:numPr>
      </w:pPr>
      <w:r>
        <w:t xml:space="preserve">analyse stat bayesienne</w:t>
      </w:r>
    </w:p>
    <w:p>
      <w:pPr>
        <w:pStyle w:val="Compact"/>
        <w:numPr>
          <w:numId w:val="1021"/>
          <w:ilvl w:val="0"/>
        </w:numPr>
      </w:pPr>
      <w:r>
        <w:t xml:space="preserve">regulation mvt oscillation</w:t>
      </w:r>
    </w:p>
    <w:p>
      <w:pPr>
        <w:pStyle w:val="Compact"/>
        <w:numPr>
          <w:numId w:val="1023"/>
          <w:ilvl w:val="1"/>
        </w:numPr>
      </w:pPr>
      <w:r>
        <w:t xml:space="preserve">si mt sont impliques dans le switch</w:t>
      </w:r>
    </w:p>
    <w:p>
      <w:pPr>
        <w:pStyle w:val="Compact"/>
        <w:numPr>
          <w:numId w:val="1023"/>
          <w:ilvl w:val="1"/>
        </w:numPr>
      </w:pPr>
      <w:r>
        <w:t xml:space="preserve">difference levure/cellule supp</w:t>
      </w:r>
    </w:p>
    <w:p>
      <w:pPr>
        <w:pStyle w:val="Compact"/>
        <w:numPr>
          <w:numId w:val="1023"/>
          <w:ilvl w:val="1"/>
        </w:numPr>
      </w:pPr>
      <w:r>
        <w:t xml:space="preserve">mvt irregulier 20% chez hella</w:t>
      </w:r>
    </w:p>
    <w:p>
      <w:pPr>
        <w:pStyle w:val="Compact"/>
        <w:numPr>
          <w:numId w:val="1023"/>
          <w:ilvl w:val="1"/>
        </w:numPr>
      </w:pPr>
      <w:r>
        <w:t xml:space="preserve">modele qui doit aussi prendre en compte ca</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p>
    <w:p>
      <w:pPr>
        <w:pStyle w:val="Heading1"/>
      </w:pPr>
      <w:bookmarkStart w:id="133" w:name="annexes"/>
      <w:bookmarkEnd w:id="133"/>
      <w:r>
        <w:t xml:space="preserve">Annexes</w:t>
      </w:r>
    </w:p>
    <w:p>
      <w:pPr>
        <w:pStyle w:val="Heading2"/>
      </w:pPr>
      <w:bookmarkStart w:id="134" w:name="exemple-dutilisation-de-kt_simul"/>
      <w:bookmarkEnd w:id="134"/>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5"/>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6"/>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7" w:name="bibliographie"/>
      <w:bookmarkEnd w:id="137"/>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hyperlink r:id="rId74">
        <w:r>
          <w:rPr>
            <w:rStyle w:val="Hyperlink"/>
          </w:rPr>
          <w:t xml:space="preserve">https://en.wikipedia.org/wiki/Blob_detection#The_Laplacian_of_Gaussian</w:t>
        </w:r>
      </w:hyperlink>
    </w:p>
  </w:footnote>
  <w:footnote w:id="76">
    <w:p>
      <w:pPr>
        <w:pStyle w:val="FootnoteText"/>
      </w:pPr>
      <w:r>
        <w:rPr>
          <w:rStyle w:val="FootnoteReference"/>
        </w:rPr>
        <w:footnoteRef/>
      </w:r>
      <w:hyperlink r:id="rId77">
        <w:r>
          <w:rPr>
            <w:rStyle w:val="Hyperlink"/>
          </w:rPr>
          <w:t xml:space="preserve">http://git.io/vC9zf</w:t>
        </w:r>
      </w:hyperlink>
    </w:p>
  </w:footnote>
  <w:footnote w:id="80">
    <w:p>
      <w:pPr>
        <w:pStyle w:val="FootnoteText"/>
      </w:pPr>
      <w:r>
        <w:rPr>
          <w:rStyle w:val="FootnoteReference"/>
        </w:rPr>
        <w:footnoteRef/>
      </w:r>
      <w:hyperlink r:id="rId81">
        <w:r>
          <w:rPr>
            <w:rStyle w:val="Hyperlink"/>
          </w:rPr>
          <w:t xml:space="preserve">http://git.io/vCHGs</w:t>
        </w:r>
      </w:hyperlink>
    </w:p>
  </w:footnote>
  <w:footnote w:id="92">
    <w:p>
      <w:pPr>
        <w:pStyle w:val="FootnoteText"/>
      </w:pPr>
      <w:r>
        <w:rPr>
          <w:rStyle w:val="FootnoteReference"/>
        </w:rPr>
        <w:footnoteRef/>
      </w:r>
      <w:hyperlink r:id="rId93">
        <w:r>
          <w:rPr>
            <w:rStyle w:val="Hyperlink"/>
          </w:rPr>
          <w:t xml:space="preserve">www.pyqtgraph.org</w:t>
        </w:r>
      </w:hyperlink>
    </w:p>
  </w:footnote>
  <w:footnote w:id="94">
    <w:p>
      <w:pPr>
        <w:pStyle w:val="FootnoteText"/>
      </w:pPr>
      <w:r>
        <w:rPr>
          <w:rStyle w:val="FootnoteReference"/>
        </w:rPr>
        <w:footnoteRef/>
      </w:r>
      <w:hyperlink r:id="rId95">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9e5f8c4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57a8dd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57" Target="media/rId5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7" Target="media/rId87.png"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125" Target="media/rId12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